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E7" w:rsidRPr="00DB78E7" w:rsidRDefault="00DB78E7" w:rsidP="00C236C9">
      <w:pPr>
        <w:spacing w:after="0" w:line="240" w:lineRule="auto"/>
        <w:ind w:left="9204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8E7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1</w:t>
      </w:r>
    </w:p>
    <w:p w:rsidR="00DB78E7" w:rsidRPr="00DB78E7" w:rsidRDefault="00DB78E7" w:rsidP="00CC36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8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муниципальной программе поселка Кедровый </w:t>
      </w:r>
    </w:p>
    <w:p w:rsidR="00646A9F" w:rsidRDefault="00DB78E7" w:rsidP="00CC36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DB78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Красноярского края «Развитие </w:t>
      </w:r>
      <w:r w:rsidR="00D32B50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</w:t>
      </w:r>
      <w:r w:rsidR="00646A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B78E7" w:rsidRDefault="00646A9F" w:rsidP="00CC36D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в поселке Кедровый Красноярского края</w:t>
      </w:r>
      <w:r w:rsidR="00DB78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DB78E7" w:rsidRDefault="00DB78E7" w:rsidP="00CC36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3377" w:rsidRPr="00223377" w:rsidRDefault="00223377" w:rsidP="00CC36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33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Перечень целевых показателей муниципальной программы поселка Кедровый Красноярского края </w:t>
      </w:r>
    </w:p>
    <w:p w:rsidR="00223377" w:rsidRDefault="00223377" w:rsidP="00CC36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33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 указанием планируемых к достижению значений в результате реализации </w:t>
      </w:r>
    </w:p>
    <w:p w:rsidR="00223377" w:rsidRPr="00223377" w:rsidRDefault="00223377" w:rsidP="00CC36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33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программы поселка Кедровый Красноярского края</w:t>
      </w:r>
    </w:p>
    <w:p w:rsidR="00223377" w:rsidRPr="00223377" w:rsidRDefault="00223377" w:rsidP="00CC36D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57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753"/>
        <w:gridCol w:w="3555"/>
        <w:gridCol w:w="992"/>
        <w:gridCol w:w="854"/>
        <w:gridCol w:w="702"/>
        <w:gridCol w:w="49"/>
        <w:gridCol w:w="521"/>
        <w:gridCol w:w="847"/>
        <w:gridCol w:w="570"/>
        <w:gridCol w:w="851"/>
        <w:gridCol w:w="831"/>
        <w:gridCol w:w="20"/>
        <w:gridCol w:w="709"/>
        <w:gridCol w:w="30"/>
        <w:gridCol w:w="683"/>
        <w:gridCol w:w="69"/>
        <w:gridCol w:w="501"/>
        <w:gridCol w:w="138"/>
        <w:gridCol w:w="471"/>
        <w:gridCol w:w="237"/>
        <w:gridCol w:w="485"/>
        <w:gridCol w:w="224"/>
        <w:gridCol w:w="415"/>
        <w:gridCol w:w="564"/>
        <w:gridCol w:w="7"/>
        <w:gridCol w:w="1025"/>
      </w:tblGrid>
      <w:tr w:rsidR="00C236C9" w:rsidRPr="00DB5F28" w:rsidTr="00C236C9">
        <w:tc>
          <w:tcPr>
            <w:tcW w:w="116" w:type="pct"/>
            <w:vMerge w:val="restar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B5F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1306" w:type="pct"/>
            <w:gridSpan w:val="2"/>
            <w:vMerge w:val="restart"/>
            <w:shd w:val="clear" w:color="auto" w:fill="auto"/>
          </w:tcPr>
          <w:p w:rsidR="00C236C9" w:rsidRPr="00DB5F28" w:rsidRDefault="00C236C9" w:rsidP="00DF7AA1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Цели, целевые показатели муниципальной программы поселка Кедровый Красноярского края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Единица  </w:t>
            </w:r>
            <w:proofErr w:type="spellStart"/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измере</w:t>
            </w:r>
            <w:proofErr w:type="spellEnd"/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proofErr w:type="spellStart"/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ния</w:t>
            </w:r>
            <w:proofErr w:type="spellEnd"/>
          </w:p>
        </w:tc>
        <w:tc>
          <w:tcPr>
            <w:tcW w:w="259" w:type="pct"/>
            <w:vMerge w:val="restart"/>
            <w:shd w:val="clear" w:color="auto" w:fill="auto"/>
          </w:tcPr>
          <w:p w:rsidR="00C236C9" w:rsidRPr="00DB5F28" w:rsidRDefault="00C236C9" w:rsidP="00DF7AA1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2013   год</w:t>
            </w:r>
          </w:p>
        </w:tc>
        <w:tc>
          <w:tcPr>
            <w:tcW w:w="228" w:type="pct"/>
            <w:gridSpan w:val="2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791" w:type="pct"/>
            <w:gridSpan w:val="20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Годы реализации муниципальной  программы поселка Кедровый Красноярского края</w:t>
            </w:r>
          </w:p>
        </w:tc>
      </w:tr>
      <w:tr w:rsidR="00C236C9" w:rsidRPr="00DB5F28" w:rsidTr="00C236C9">
        <w:tc>
          <w:tcPr>
            <w:tcW w:w="116" w:type="pct"/>
            <w:vMerge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06" w:type="pct"/>
            <w:gridSpan w:val="2"/>
            <w:vMerge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01" w:type="pct"/>
            <w:vMerge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59" w:type="pct"/>
            <w:vMerge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3" w:type="pct"/>
            <w:vMerge w:val="restar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2014   год</w:t>
            </w:r>
          </w:p>
        </w:tc>
        <w:tc>
          <w:tcPr>
            <w:tcW w:w="173" w:type="pct"/>
            <w:gridSpan w:val="2"/>
            <w:vMerge w:val="restar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257" w:type="pct"/>
            <w:vMerge w:val="restart"/>
            <w:shd w:val="clear" w:color="auto" w:fill="auto"/>
          </w:tcPr>
          <w:p w:rsidR="00C236C9" w:rsidRPr="00DB5F28" w:rsidRDefault="00C236C9" w:rsidP="007E19C1">
            <w:pPr>
              <w:spacing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2016   год</w:t>
            </w:r>
          </w:p>
          <w:p w:rsidR="00C236C9" w:rsidRPr="00DB5F28" w:rsidRDefault="00C236C9" w:rsidP="007E19C1">
            <w:pPr>
              <w:spacing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vMerge w:val="restar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B5F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2017     год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C236C9" w:rsidRPr="00DB5F28" w:rsidRDefault="00C236C9" w:rsidP="00742BCA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C236C9" w:rsidRPr="00DB5F28" w:rsidRDefault="00C236C9" w:rsidP="00742BCA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230" w:type="pct"/>
            <w:gridSpan w:val="3"/>
            <w:vMerge w:val="restar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B5F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B5F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228" w:type="pct"/>
            <w:gridSpan w:val="2"/>
          </w:tcPr>
          <w:p w:rsidR="00C236C9" w:rsidRPr="00DB5F28" w:rsidRDefault="00C236C9" w:rsidP="001A053C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gridSpan w:val="10"/>
            <w:shd w:val="clear" w:color="auto" w:fill="auto"/>
          </w:tcPr>
          <w:p w:rsidR="00C236C9" w:rsidRPr="00DB5F28" w:rsidRDefault="00C236C9" w:rsidP="001A053C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годы до конца реализации муниципальной программы поселка Кедровый Красноярского края </w:t>
            </w:r>
          </w:p>
        </w:tc>
      </w:tr>
      <w:tr w:rsidR="00C236C9" w:rsidRPr="00DB5F28" w:rsidTr="00C236C9">
        <w:tc>
          <w:tcPr>
            <w:tcW w:w="116" w:type="pct"/>
            <w:vMerge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06" w:type="pct"/>
            <w:gridSpan w:val="2"/>
            <w:vMerge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01" w:type="pct"/>
            <w:vMerge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59" w:type="pct"/>
            <w:vMerge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vMerge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30" w:type="pct"/>
            <w:gridSpan w:val="3"/>
            <w:vMerge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07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2021 </w:t>
            </w: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2022</w:t>
            </w: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5" w:type="pct"/>
            <w:gridSpan w:val="2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2023</w:t>
            </w:r>
          </w:p>
          <w:p w:rsidR="00C236C9" w:rsidRPr="00DB5F28" w:rsidRDefault="00C236C9" w:rsidP="00DD386E">
            <w:pPr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19" w:type="pct"/>
            <w:gridSpan w:val="2"/>
          </w:tcPr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  <w:r w:rsidRPr="00C236C9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  <w:t>2024</w:t>
            </w:r>
          </w:p>
          <w:p w:rsidR="00C236C9" w:rsidRPr="00C236C9" w:rsidRDefault="00C236C9" w:rsidP="00DD386E">
            <w:pPr>
              <w:ind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  <w:r w:rsidRPr="00C236C9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94" w:type="pct"/>
            <w:gridSpan w:val="2"/>
          </w:tcPr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  <w:r w:rsidRPr="00C236C9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  <w:t>2025</w:t>
            </w:r>
          </w:p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  <w:r w:rsidRPr="00C236C9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3" w:type="pct"/>
            <w:gridSpan w:val="2"/>
          </w:tcPr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highlight w:val="green"/>
                <w:lang w:eastAsia="en-US"/>
              </w:rPr>
            </w:pPr>
            <w:r w:rsidRPr="00C236C9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highlight w:val="green"/>
                <w:lang w:eastAsia="en-US"/>
              </w:rPr>
              <w:t>2026</w:t>
            </w:r>
          </w:p>
        </w:tc>
        <w:tc>
          <w:tcPr>
            <w:tcW w:w="312" w:type="pct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2030 </w:t>
            </w: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год</w:t>
            </w:r>
          </w:p>
        </w:tc>
      </w:tr>
      <w:tr w:rsidR="00C236C9" w:rsidRPr="00DB5F28" w:rsidTr="00C236C9">
        <w:tc>
          <w:tcPr>
            <w:tcW w:w="116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6" w:type="pct"/>
            <w:gridSpan w:val="2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9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3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8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2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0" w:type="pct"/>
            <w:gridSpan w:val="3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7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5" w:type="pct"/>
            <w:gridSpan w:val="2"/>
          </w:tcPr>
          <w:p w:rsidR="00C236C9" w:rsidRPr="00DB5F28" w:rsidRDefault="00C236C9" w:rsidP="00DD386E">
            <w:pPr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9" w:type="pct"/>
            <w:gridSpan w:val="2"/>
          </w:tcPr>
          <w:p w:rsidR="00C236C9" w:rsidRPr="00C236C9" w:rsidRDefault="00C236C9" w:rsidP="00DD386E">
            <w:pPr>
              <w:ind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  <w:r w:rsidRPr="00C236C9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4" w:type="pct"/>
            <w:gridSpan w:val="2"/>
          </w:tcPr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  <w:r w:rsidRPr="00C236C9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3" w:type="pct"/>
            <w:gridSpan w:val="2"/>
          </w:tcPr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highlight w:val="green"/>
                <w:lang w:eastAsia="en-US"/>
              </w:rPr>
            </w:pPr>
            <w:r w:rsidRPr="00C236C9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highlight w:val="green"/>
                <w:lang w:eastAsia="en-US"/>
              </w:rPr>
              <w:t>17</w:t>
            </w:r>
          </w:p>
        </w:tc>
        <w:tc>
          <w:tcPr>
            <w:tcW w:w="312" w:type="pct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18</w:t>
            </w:r>
          </w:p>
        </w:tc>
      </w:tr>
      <w:tr w:rsidR="00C236C9" w:rsidRPr="00DB5F28" w:rsidTr="00C236C9">
        <w:tc>
          <w:tcPr>
            <w:tcW w:w="116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28" w:type="pct"/>
          </w:tcPr>
          <w:p w:rsidR="00C236C9" w:rsidRPr="00DB5F28" w:rsidRDefault="00C236C9" w:rsidP="00AE52AB">
            <w:pPr>
              <w:ind w:left="-79" w:right="-79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655" w:type="pct"/>
            <w:gridSpan w:val="25"/>
            <w:shd w:val="clear" w:color="auto" w:fill="auto"/>
          </w:tcPr>
          <w:p w:rsidR="00C236C9" w:rsidRPr="00DB5F28" w:rsidRDefault="00C236C9" w:rsidP="00AE52AB">
            <w:pPr>
              <w:ind w:left="-79" w:right="-79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Цель: обеспечение высокого качества образования, соответствующего потребностям граждан и перспективным задачам развития экономики Красноярского края,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C236C9" w:rsidRPr="00DB5F28" w:rsidTr="00C236C9">
        <w:trPr>
          <w:trHeight w:val="1244"/>
        </w:trPr>
        <w:tc>
          <w:tcPr>
            <w:tcW w:w="116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6" w:type="pct"/>
            <w:gridSpan w:val="2"/>
            <w:shd w:val="clear" w:color="auto" w:fill="auto"/>
          </w:tcPr>
          <w:p w:rsidR="00C236C9" w:rsidRPr="00DB5F28" w:rsidRDefault="00C236C9" w:rsidP="00981630">
            <w:pPr>
              <w:ind w:left="-79" w:right="-79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Доля детей в возрасте от 1 до 6 лет, получающих дошкольную образовательную услугу в общей численности детей в возрасте от 1 до 6 лет</w:t>
            </w:r>
          </w:p>
        </w:tc>
        <w:tc>
          <w:tcPr>
            <w:tcW w:w="301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9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E110EC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52,4</w:t>
            </w:r>
          </w:p>
        </w:tc>
        <w:tc>
          <w:tcPr>
            <w:tcW w:w="213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57,4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66,4</w:t>
            </w:r>
          </w:p>
        </w:tc>
        <w:tc>
          <w:tcPr>
            <w:tcW w:w="257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173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258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84,7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86,8</w:t>
            </w:r>
          </w:p>
        </w:tc>
        <w:tc>
          <w:tcPr>
            <w:tcW w:w="215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216" w:type="pct"/>
            <w:gridSpan w:val="2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15" w:type="pct"/>
            <w:gridSpan w:val="3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D474BD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15" w:type="pct"/>
            <w:gridSpan w:val="2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DD386E">
            <w:pPr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5" w:type="pct"/>
            <w:gridSpan w:val="2"/>
          </w:tcPr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</w:p>
          <w:p w:rsidR="00C236C9" w:rsidRPr="00C236C9" w:rsidRDefault="00C236C9" w:rsidP="00DD386E">
            <w:pPr>
              <w:ind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  <w:r w:rsidRPr="00C236C9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6" w:type="pct"/>
          </w:tcPr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</w:p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  <w:r w:rsidRPr="00C236C9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1" w:type="pct"/>
          </w:tcPr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highlight w:val="green"/>
                <w:lang w:eastAsia="en-US"/>
              </w:rPr>
            </w:pPr>
          </w:p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highlight w:val="green"/>
                <w:lang w:eastAsia="en-US"/>
              </w:rPr>
            </w:pPr>
            <w:r w:rsidRPr="00C236C9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highlight w:val="green"/>
                <w:lang w:eastAsia="en-US"/>
              </w:rPr>
              <w:t>100</w:t>
            </w:r>
          </w:p>
        </w:tc>
        <w:tc>
          <w:tcPr>
            <w:tcW w:w="314" w:type="pct"/>
            <w:gridSpan w:val="2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100</w:t>
            </w:r>
          </w:p>
        </w:tc>
      </w:tr>
      <w:tr w:rsidR="00C236C9" w:rsidRPr="00DB5F28" w:rsidTr="00C236C9">
        <w:trPr>
          <w:trHeight w:val="322"/>
        </w:trPr>
        <w:tc>
          <w:tcPr>
            <w:tcW w:w="116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6" w:type="pct"/>
            <w:gridSpan w:val="2"/>
            <w:shd w:val="clear" w:color="auto" w:fill="auto"/>
          </w:tcPr>
          <w:p w:rsidR="00C236C9" w:rsidRPr="00DB5F28" w:rsidRDefault="00C236C9" w:rsidP="00AE52AB">
            <w:pPr>
              <w:ind w:left="-79" w:right="-79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Численность учащихся в дневных общеобразовательных учреждениях муниципальной формы собственности</w:t>
            </w:r>
          </w:p>
        </w:tc>
        <w:tc>
          <w:tcPr>
            <w:tcW w:w="301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59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609</w:t>
            </w:r>
          </w:p>
        </w:tc>
        <w:tc>
          <w:tcPr>
            <w:tcW w:w="213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608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593</w:t>
            </w:r>
          </w:p>
        </w:tc>
        <w:tc>
          <w:tcPr>
            <w:tcW w:w="257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606</w:t>
            </w:r>
          </w:p>
        </w:tc>
        <w:tc>
          <w:tcPr>
            <w:tcW w:w="173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603</w:t>
            </w:r>
          </w:p>
        </w:tc>
        <w:tc>
          <w:tcPr>
            <w:tcW w:w="258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603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C236C9" w:rsidRPr="00DB5F28" w:rsidRDefault="00C236C9" w:rsidP="00AE52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6C9" w:rsidRPr="00DB5F28" w:rsidRDefault="00C236C9" w:rsidP="00AE52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28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15" w:type="pct"/>
            <w:shd w:val="clear" w:color="auto" w:fill="auto"/>
          </w:tcPr>
          <w:p w:rsidR="00C236C9" w:rsidRPr="00DB5F28" w:rsidRDefault="00C236C9" w:rsidP="00AE52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6C9" w:rsidRPr="00DB5F28" w:rsidRDefault="00C236C9" w:rsidP="0000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28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16" w:type="pct"/>
            <w:gridSpan w:val="2"/>
            <w:shd w:val="clear" w:color="auto" w:fill="auto"/>
          </w:tcPr>
          <w:p w:rsidR="00C236C9" w:rsidRPr="00DB5F28" w:rsidRDefault="00C236C9" w:rsidP="00AE52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6C9" w:rsidRPr="00DB5F28" w:rsidRDefault="00C236C9" w:rsidP="006D4C7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15" w:type="pct"/>
            <w:gridSpan w:val="3"/>
            <w:shd w:val="clear" w:color="auto" w:fill="auto"/>
          </w:tcPr>
          <w:p w:rsidR="00C236C9" w:rsidRPr="00DB5F28" w:rsidRDefault="00C236C9" w:rsidP="00AE52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6C9" w:rsidRPr="00DB5F28" w:rsidRDefault="00C236C9" w:rsidP="006D4C7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15" w:type="pct"/>
            <w:gridSpan w:val="2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8C4E09">
            <w:pPr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15" w:type="pct"/>
            <w:gridSpan w:val="2"/>
          </w:tcPr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</w:p>
          <w:p w:rsidR="00C236C9" w:rsidRPr="00C236C9" w:rsidRDefault="00C236C9" w:rsidP="008C4E09">
            <w:pPr>
              <w:ind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  <w:r w:rsidRPr="00C236C9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6" w:type="pct"/>
          </w:tcPr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</w:p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  <w:r w:rsidRPr="00C236C9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71" w:type="pct"/>
          </w:tcPr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highlight w:val="green"/>
                <w:lang w:eastAsia="en-US"/>
              </w:rPr>
            </w:pPr>
          </w:p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highlight w:val="green"/>
                <w:lang w:eastAsia="en-US"/>
              </w:rPr>
            </w:pPr>
            <w:r w:rsidRPr="00C236C9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highlight w:val="green"/>
                <w:lang w:eastAsia="en-US"/>
              </w:rPr>
              <w:t>620</w:t>
            </w:r>
          </w:p>
        </w:tc>
        <w:tc>
          <w:tcPr>
            <w:tcW w:w="314" w:type="pct"/>
            <w:gridSpan w:val="2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630</w:t>
            </w:r>
          </w:p>
        </w:tc>
      </w:tr>
      <w:tr w:rsidR="00C236C9" w:rsidRPr="00DB5F28" w:rsidTr="00C236C9">
        <w:trPr>
          <w:trHeight w:val="322"/>
        </w:trPr>
        <w:tc>
          <w:tcPr>
            <w:tcW w:w="116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306" w:type="pct"/>
            <w:gridSpan w:val="2"/>
            <w:shd w:val="clear" w:color="auto" w:fill="auto"/>
          </w:tcPr>
          <w:p w:rsidR="00C236C9" w:rsidRPr="00DB5F28" w:rsidRDefault="00C236C9" w:rsidP="00AE52AB">
            <w:pPr>
              <w:ind w:left="-79" w:right="-79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Доля выпускников муниципальных общеобразовательных организаций, не получивших аттестат о среднем (полном)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1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9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4,54</w:t>
            </w:r>
          </w:p>
        </w:tc>
        <w:tc>
          <w:tcPr>
            <w:tcW w:w="213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2,33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7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3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5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6" w:type="pct"/>
            <w:gridSpan w:val="2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</w:t>
            </w: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15" w:type="pct"/>
            <w:gridSpan w:val="3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</w:t>
            </w: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15" w:type="pct"/>
            <w:gridSpan w:val="2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DD386E">
            <w:pPr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</w:t>
            </w: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15" w:type="pct"/>
            <w:gridSpan w:val="2"/>
          </w:tcPr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</w:p>
          <w:p w:rsidR="00C236C9" w:rsidRPr="00C236C9" w:rsidRDefault="00C236C9" w:rsidP="00DD386E">
            <w:pPr>
              <w:ind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  <w:r w:rsidRPr="00C236C9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" w:type="pct"/>
          </w:tcPr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</w:p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  <w:r w:rsidRPr="00C236C9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" w:type="pct"/>
          </w:tcPr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</w:p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  <w:r w:rsidRPr="00C236C9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highlight w:val="green"/>
                <w:lang w:eastAsia="en-US"/>
              </w:rPr>
              <w:t>0,0</w:t>
            </w:r>
          </w:p>
        </w:tc>
        <w:tc>
          <w:tcPr>
            <w:tcW w:w="314" w:type="pct"/>
            <w:gridSpan w:val="2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0,0</w:t>
            </w:r>
          </w:p>
        </w:tc>
        <w:bookmarkStart w:id="0" w:name="_GoBack"/>
        <w:bookmarkEnd w:id="0"/>
      </w:tr>
      <w:tr w:rsidR="00C236C9" w:rsidRPr="00DB5F28" w:rsidTr="00C236C9">
        <w:trPr>
          <w:trHeight w:val="322"/>
        </w:trPr>
        <w:tc>
          <w:tcPr>
            <w:tcW w:w="116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28" w:type="pct"/>
          </w:tcPr>
          <w:p w:rsidR="00C236C9" w:rsidRPr="00DB5F28" w:rsidRDefault="00C236C9" w:rsidP="00E300BB">
            <w:pPr>
              <w:pStyle w:val="1"/>
              <w:shd w:val="clear" w:color="auto" w:fill="auto"/>
              <w:spacing w:before="0" w:after="0" w:line="240" w:lineRule="auto"/>
              <w:ind w:left="33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655" w:type="pct"/>
            <w:gridSpan w:val="25"/>
            <w:shd w:val="clear" w:color="auto" w:fill="auto"/>
          </w:tcPr>
          <w:p w:rsidR="00C236C9" w:rsidRPr="00DB5F28" w:rsidRDefault="00C236C9" w:rsidP="00E300BB">
            <w:pPr>
              <w:pStyle w:val="1"/>
              <w:shd w:val="clear" w:color="auto" w:fill="auto"/>
              <w:spacing w:before="0" w:after="0" w:line="240" w:lineRule="auto"/>
              <w:ind w:left="33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Цель: </w:t>
            </w:r>
            <w:r w:rsidRPr="00DB5F28">
              <w:rPr>
                <w:kern w:val="32"/>
                <w:sz w:val="24"/>
                <w:szCs w:val="24"/>
              </w:rPr>
              <w:t xml:space="preserve">Развитие дополнительного образования детей.  </w:t>
            </w:r>
            <w:r w:rsidRPr="00DB5F28">
              <w:rPr>
                <w:sz w:val="24"/>
                <w:szCs w:val="24"/>
              </w:rPr>
              <w:t>Обеспечение функционирования системы персонифицированного финансирования дополнительного образования детей.</w:t>
            </w:r>
          </w:p>
        </w:tc>
      </w:tr>
      <w:tr w:rsidR="00C236C9" w:rsidRPr="00DD386E" w:rsidTr="00C236C9">
        <w:trPr>
          <w:trHeight w:val="322"/>
        </w:trPr>
        <w:tc>
          <w:tcPr>
            <w:tcW w:w="116" w:type="pct"/>
            <w:shd w:val="clear" w:color="auto" w:fill="auto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6" w:type="pct"/>
            <w:gridSpan w:val="2"/>
            <w:shd w:val="clear" w:color="auto" w:fill="auto"/>
          </w:tcPr>
          <w:p w:rsidR="00C236C9" w:rsidRPr="00DB5F28" w:rsidRDefault="00C236C9" w:rsidP="00F302C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2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301" w:type="pct"/>
            <w:shd w:val="clear" w:color="auto" w:fill="auto"/>
          </w:tcPr>
          <w:p w:rsidR="00C236C9" w:rsidRPr="00DB5F28" w:rsidRDefault="00C236C9" w:rsidP="00F302C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2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9" w:type="pct"/>
            <w:shd w:val="clear" w:color="auto" w:fill="auto"/>
          </w:tcPr>
          <w:p w:rsidR="00C236C9" w:rsidRPr="00DB5F28" w:rsidRDefault="00C236C9" w:rsidP="00B13574">
            <w:r w:rsidRPr="00DB5F28">
              <w:t>0</w:t>
            </w:r>
          </w:p>
        </w:tc>
        <w:tc>
          <w:tcPr>
            <w:tcW w:w="213" w:type="pct"/>
            <w:shd w:val="clear" w:color="auto" w:fill="auto"/>
          </w:tcPr>
          <w:p w:rsidR="00C236C9" w:rsidRPr="00DB5F28" w:rsidRDefault="00C236C9" w:rsidP="00B13574"/>
        </w:tc>
        <w:tc>
          <w:tcPr>
            <w:tcW w:w="173" w:type="pct"/>
            <w:gridSpan w:val="2"/>
            <w:shd w:val="clear" w:color="auto" w:fill="auto"/>
          </w:tcPr>
          <w:p w:rsidR="00C236C9" w:rsidRPr="00DB5F28" w:rsidRDefault="00C236C9" w:rsidP="00B13574"/>
        </w:tc>
        <w:tc>
          <w:tcPr>
            <w:tcW w:w="257" w:type="pct"/>
            <w:shd w:val="clear" w:color="auto" w:fill="auto"/>
          </w:tcPr>
          <w:p w:rsidR="00C236C9" w:rsidRPr="00DB5F28" w:rsidRDefault="00C236C9" w:rsidP="00B13574"/>
        </w:tc>
        <w:tc>
          <w:tcPr>
            <w:tcW w:w="173" w:type="pct"/>
            <w:shd w:val="clear" w:color="auto" w:fill="auto"/>
          </w:tcPr>
          <w:p w:rsidR="00C236C9" w:rsidRPr="00DB5F28" w:rsidRDefault="00C236C9" w:rsidP="00B13574"/>
        </w:tc>
        <w:tc>
          <w:tcPr>
            <w:tcW w:w="258" w:type="pct"/>
            <w:shd w:val="clear" w:color="auto" w:fill="auto"/>
          </w:tcPr>
          <w:p w:rsidR="00C236C9" w:rsidRPr="00DB5F28" w:rsidRDefault="00C236C9" w:rsidP="00B13574"/>
        </w:tc>
        <w:tc>
          <w:tcPr>
            <w:tcW w:w="258" w:type="pct"/>
            <w:gridSpan w:val="2"/>
            <w:shd w:val="clear" w:color="auto" w:fill="auto"/>
          </w:tcPr>
          <w:p w:rsidR="00C236C9" w:rsidRPr="00DB5F28" w:rsidRDefault="00C236C9" w:rsidP="00B13574">
            <w:r>
              <w:t>25</w:t>
            </w:r>
          </w:p>
        </w:tc>
        <w:tc>
          <w:tcPr>
            <w:tcW w:w="215" w:type="pct"/>
            <w:shd w:val="clear" w:color="auto" w:fill="auto"/>
          </w:tcPr>
          <w:p w:rsidR="00C236C9" w:rsidRPr="00DB5F28" w:rsidRDefault="00C236C9" w:rsidP="00B13574">
            <w:r>
              <w:t>50</w:t>
            </w:r>
          </w:p>
        </w:tc>
        <w:tc>
          <w:tcPr>
            <w:tcW w:w="216" w:type="pct"/>
            <w:gridSpan w:val="2"/>
            <w:shd w:val="clear" w:color="auto" w:fill="auto"/>
          </w:tcPr>
          <w:p w:rsidR="00C236C9" w:rsidRPr="00DB5F28" w:rsidRDefault="00C236C9" w:rsidP="00251A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" w:type="pct"/>
            <w:gridSpan w:val="3"/>
            <w:shd w:val="clear" w:color="auto" w:fill="auto"/>
          </w:tcPr>
          <w:p w:rsidR="00C236C9" w:rsidRPr="00DB5F28" w:rsidRDefault="00C236C9" w:rsidP="00DD386E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15" w:type="pct"/>
            <w:gridSpan w:val="2"/>
          </w:tcPr>
          <w:p w:rsidR="00C236C9" w:rsidRPr="00DB5F28" w:rsidRDefault="00C236C9" w:rsidP="00913514">
            <w:pPr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B5F2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" w:type="pct"/>
            <w:gridSpan w:val="2"/>
          </w:tcPr>
          <w:p w:rsidR="00C236C9" w:rsidRPr="00C236C9" w:rsidRDefault="00C236C9" w:rsidP="00913514">
            <w:pPr>
              <w:ind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  <w:r w:rsidRPr="00C236C9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6" w:type="pct"/>
          </w:tcPr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  <w:r w:rsidRPr="00C236C9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71" w:type="pct"/>
          </w:tcPr>
          <w:p w:rsidR="00C236C9" w:rsidRPr="00C236C9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lang w:eastAsia="en-US"/>
              </w:rPr>
            </w:pPr>
            <w:r w:rsidRPr="00C236C9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highlight w:val="green"/>
                <w:lang w:eastAsia="en-US"/>
              </w:rPr>
              <w:t>75</w:t>
            </w:r>
          </w:p>
        </w:tc>
        <w:tc>
          <w:tcPr>
            <w:tcW w:w="314" w:type="pct"/>
            <w:gridSpan w:val="2"/>
          </w:tcPr>
          <w:p w:rsidR="00C236C9" w:rsidRPr="00DB5F28" w:rsidRDefault="00C236C9" w:rsidP="00AE52A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80</w:t>
            </w:r>
          </w:p>
        </w:tc>
      </w:tr>
    </w:tbl>
    <w:p w:rsidR="00FA2CA2" w:rsidRDefault="00FA2CA2" w:rsidP="00F13BDB"/>
    <w:sectPr w:rsidR="00FA2CA2" w:rsidSect="00C236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EF"/>
    <w:rsid w:val="00000795"/>
    <w:rsid w:val="00023240"/>
    <w:rsid w:val="00033B12"/>
    <w:rsid w:val="00072DFE"/>
    <w:rsid w:val="000F6169"/>
    <w:rsid w:val="00117A5E"/>
    <w:rsid w:val="00131AEF"/>
    <w:rsid w:val="00191975"/>
    <w:rsid w:val="001A053C"/>
    <w:rsid w:val="00223377"/>
    <w:rsid w:val="00321FD9"/>
    <w:rsid w:val="00344445"/>
    <w:rsid w:val="00357EBD"/>
    <w:rsid w:val="003859BA"/>
    <w:rsid w:val="003D66AD"/>
    <w:rsid w:val="003F0169"/>
    <w:rsid w:val="004641B6"/>
    <w:rsid w:val="004C3EC6"/>
    <w:rsid w:val="004D04FB"/>
    <w:rsid w:val="004D63A2"/>
    <w:rsid w:val="00525B8B"/>
    <w:rsid w:val="00610B02"/>
    <w:rsid w:val="00625B39"/>
    <w:rsid w:val="006352C4"/>
    <w:rsid w:val="00646A9F"/>
    <w:rsid w:val="006A07E3"/>
    <w:rsid w:val="006D4C7E"/>
    <w:rsid w:val="00707D53"/>
    <w:rsid w:val="00715616"/>
    <w:rsid w:val="00727E41"/>
    <w:rsid w:val="00742BCA"/>
    <w:rsid w:val="00767C4F"/>
    <w:rsid w:val="007E19C1"/>
    <w:rsid w:val="008170C8"/>
    <w:rsid w:val="008857C6"/>
    <w:rsid w:val="008A091A"/>
    <w:rsid w:val="008B6DE7"/>
    <w:rsid w:val="008C4E09"/>
    <w:rsid w:val="008F67B4"/>
    <w:rsid w:val="009076AD"/>
    <w:rsid w:val="00913514"/>
    <w:rsid w:val="0093002C"/>
    <w:rsid w:val="00945051"/>
    <w:rsid w:val="009650BB"/>
    <w:rsid w:val="00981630"/>
    <w:rsid w:val="009838CD"/>
    <w:rsid w:val="0098602E"/>
    <w:rsid w:val="00A64196"/>
    <w:rsid w:val="00A81388"/>
    <w:rsid w:val="00AE52AB"/>
    <w:rsid w:val="00B13574"/>
    <w:rsid w:val="00B473D5"/>
    <w:rsid w:val="00B609A1"/>
    <w:rsid w:val="00B942E2"/>
    <w:rsid w:val="00C236C9"/>
    <w:rsid w:val="00C27635"/>
    <w:rsid w:val="00C44B0C"/>
    <w:rsid w:val="00C91F58"/>
    <w:rsid w:val="00CC36DA"/>
    <w:rsid w:val="00D32B50"/>
    <w:rsid w:val="00D3363E"/>
    <w:rsid w:val="00D474BD"/>
    <w:rsid w:val="00D51CE3"/>
    <w:rsid w:val="00D63631"/>
    <w:rsid w:val="00DB5F28"/>
    <w:rsid w:val="00DB78E7"/>
    <w:rsid w:val="00DD386E"/>
    <w:rsid w:val="00DE79E3"/>
    <w:rsid w:val="00DF7AA1"/>
    <w:rsid w:val="00E110EC"/>
    <w:rsid w:val="00E12C13"/>
    <w:rsid w:val="00E300BB"/>
    <w:rsid w:val="00E37133"/>
    <w:rsid w:val="00E652B2"/>
    <w:rsid w:val="00E850EF"/>
    <w:rsid w:val="00ED41F9"/>
    <w:rsid w:val="00EE0D86"/>
    <w:rsid w:val="00F13BDB"/>
    <w:rsid w:val="00F60FCD"/>
    <w:rsid w:val="00F73161"/>
    <w:rsid w:val="00F74E6E"/>
    <w:rsid w:val="00FA2CA2"/>
    <w:rsid w:val="00FC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DDB6"/>
  <w15:docId w15:val="{9A7090E0-1BA9-47B1-94AA-E3F095D1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uiPriority w:val="99"/>
    <w:locked/>
    <w:rsid w:val="00E300B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E300BB"/>
    <w:pPr>
      <w:shd w:val="clear" w:color="auto" w:fill="FFFFFF"/>
      <w:spacing w:before="360" w:after="300" w:line="240" w:lineRule="atLeast"/>
    </w:pPr>
    <w:rPr>
      <w:rFonts w:ascii="Times New Roman" w:hAnsi="Times New Roman" w:cs="Times New Roman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DB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2021-06-17T01:54:00Z</cp:lastPrinted>
  <dcterms:created xsi:type="dcterms:W3CDTF">2021-05-12T06:27:00Z</dcterms:created>
  <dcterms:modified xsi:type="dcterms:W3CDTF">2023-11-06T06:00:00Z</dcterms:modified>
</cp:coreProperties>
</file>